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C03020"/>
          <w:sz w:val="19"/>
        </w:rPr>
        <w:t>ЧЕРНОВИК — не отправлено, ждёт проверки куратора. Поля ⟨УТОЧНИТЬ: …⟩ заполняются человеком до подписания.</w:t>
      </w:r>
    </w:p>
    <w:p>
      <w:pPr>
        <w:spacing w:after="40" w:line="276" w:lineRule="auto"/>
        <w:jc w:val="center"/>
      </w:pPr>
      <w:r>
        <w:rPr>
          <w:rFonts w:ascii="Times New Roman" w:hAnsi="Times New Roman" w:eastAsia="Times New Roman"/>
          <w:b/>
          <w:sz w:val="26"/>
        </w:rPr>
        <w:t xml:space="preserve">ДОГОВОР № </w:t>
      </w:r>
      <w:r>
        <w:rPr>
          <w:rFonts w:ascii="Times New Roman" w:hAnsi="Times New Roman" w:eastAsia="Times New Roman"/>
          <w:b/>
          <w:color w:val="C03020"/>
          <w:sz w:val="26"/>
        </w:rPr>
        <w:t>⟨УТОЧНИТЬ: № договора⟩</w:t>
      </w:r>
    </w:p>
    <w:p>
      <w:pPr>
        <w:spacing w:after="240" w:line="276" w:lineRule="auto"/>
        <w:jc w:val="center"/>
      </w:pPr>
      <w:r>
        <w:rPr>
          <w:rFonts w:ascii="Times New Roman" w:hAnsi="Times New Roman" w:eastAsia="Times New Roman"/>
          <w:b/>
          <w:sz w:val="22"/>
        </w:rPr>
        <w:t>о предоставлении права использования облачных лицензий SAP Business One (Cloud)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spacing w:after="20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г. Ташкент</w:t>
            </w:r>
          </w:p>
        </w:tc>
        <w:tc>
          <w:tcPr>
            <w:tcW w:type="dxa" w:w="4986"/>
          </w:tcPr>
          <w:p>
            <w:pPr>
              <w:spacing w:after="200"/>
              <w:jc w:val="right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«08» сентября 2026 г.</w:t>
            </w:r>
          </w:p>
        </w:tc>
      </w:tr>
    </w:tbl>
    <w:p/>
    <w:p>
      <w:pPr>
        <w:spacing w:after="120" w:line="276" w:lineRule="auto"/>
        <w:ind w:firstLine="567"/>
        <w:jc w:val="both"/>
      </w:pPr>
      <w:r>
        <w:rPr>
          <w:rFonts w:ascii="Times New Roman" w:hAnsi="Times New Roman" w:eastAsia="Times New Roman"/>
          <w:b/>
          <w:color w:val="C03020"/>
          <w:sz w:val="22"/>
        </w:rPr>
        <w:t>⟨УТОЧНИТЬ: полное наименование Исполнителя (организационно-правовая форма и название, CraveTech)⟩</w:t>
      </w:r>
      <w:r>
        <w:rPr>
          <w:rFonts w:ascii="Times New Roman" w:hAnsi="Times New Roman" w:eastAsia="Times New Roman"/>
          <w:b w:val="0"/>
          <w:sz w:val="22"/>
        </w:rPr>
        <w:t xml:space="preserve">, именуемое в дальнейшем «Исполнитель», в лице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должность, Ф.И.О. подписанта Исполнителя⟩</w:t>
      </w:r>
      <w:r>
        <w:rPr>
          <w:rFonts w:ascii="Times New Roman" w:hAnsi="Times New Roman" w:eastAsia="Times New Roman"/>
          <w:b w:val="0"/>
          <w:sz w:val="22"/>
        </w:rPr>
        <w:t xml:space="preserve">, действующего на основании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устава / доверенности № и дата⟩</w:t>
      </w:r>
      <w:r>
        <w:rPr>
          <w:rFonts w:ascii="Times New Roman" w:hAnsi="Times New Roman" w:eastAsia="Times New Roman"/>
          <w:b w:val="0"/>
          <w:sz w:val="22"/>
        </w:rPr>
        <w:t>, с одной стороны, и</w:t>
      </w:r>
    </w:p>
    <w:p>
      <w:pPr>
        <w:spacing w:after="12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Общество с ограниченной ответственностью «BIG BAG SALE», именуемое в дальнейшем «Заказчик», в лице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должность, Ф.И.О. подписанта Заказчика⟩</w:t>
      </w:r>
      <w:r>
        <w:rPr>
          <w:rFonts w:ascii="Times New Roman" w:hAnsi="Times New Roman" w:eastAsia="Times New Roman"/>
          <w:b w:val="0"/>
          <w:sz w:val="22"/>
        </w:rPr>
        <w:t xml:space="preserve">, действующего на основании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устава / доверенности № и дата⟩</w:t>
      </w:r>
      <w:r>
        <w:rPr>
          <w:rFonts w:ascii="Times New Roman" w:hAnsi="Times New Roman" w:eastAsia="Times New Roman"/>
          <w:b w:val="0"/>
          <w:sz w:val="22"/>
        </w:rPr>
        <w:t>, с другой стороны,</w:t>
      </w:r>
    </w:p>
    <w:p>
      <w:pPr>
        <w:spacing w:after="12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sz w:val="22"/>
        </w:rPr>
        <w:t>совместно именуемые «Стороны», а по отдельности — «Сторона», заключили настоящий договор (далее — «Договор») о нижеследующем.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1. ПРЕДМЕТ ДОГОВОРА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1.1. Исполнитель обязуется предоставить Заказчику право использования (доступ) программного обеспечения SAP Business One в облачной модели предоставления (далее — «Облачные лицензии», «ПО») на условиях подписки, а Заказчик обязуется принять и оплатить их на условиях настоящего Договора.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1.2. Наименование, тип и количество Облачных лицензий определяются Спецификацией (Приложение № 1), являющейся неотъемлемой частью Договора: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тип лицензий (Professional / Limited / Starter), количество пользователей по каждому типу⟩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1.3. Право использования предоставляется на условиях простой (неисключительной) лицензии, без права передачи третьим лицам, на территории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территория использования⟩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1.4. Использование ПО осуществляется Заказчиком также с учётом условий лицензионного соглашения правообладателя — SAP SE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редакция и реквизиты лицензионного соглашения правообладателя⟩</w:t>
      </w:r>
      <w:r>
        <w:rPr>
          <w:rFonts w:ascii="Times New Roman" w:hAnsi="Times New Roman" w:eastAsia="Times New Roman"/>
          <w:b w:val="0"/>
          <w:sz w:val="22"/>
        </w:rPr>
        <w:t>. Принятие указанных условий Заказчиком является обязательным условием использования ПО.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1.5. Доступ к ПО предоставляется через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наименование облачной площадки / дата-центра, адрес (URL) доступа⟩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1.6. Настоящий Договор не является договором об отчуждении исключительного права; исключительные права на ПО Заказчику не передаются.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2. СРОК ПРЕДОСТАВЛЕНИЯ ЛИЦЕНЗИЙ И СРОК ДЕЙСТВИЯ ДОГОВОРА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2.1. Облачные лицензии предоставляются на период с 10 июля 2026 г. по 19 марта 2027 г. включительно (далее — «Период подписки»), что составляет 253 (двести пятьдесят три) календарных дня.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2.2. Договор вступает в силу с даты его подписания обеими Сторонами. Стороны договорились, что условия настоящего Договора применяются к отношениям Сторон, фактически возникшим с 10 июля 2026 г.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подтвердить у юриста формулировку об обратной силе — Период подписки начался до даты подписания⟩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2.3. Договор действует до полного исполнения Сторонами своих обязательств, а в части расчётов — до полного завершения расчётов между Сторонами.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2.4. Продление Периода подписки оформляется дополнительным соглашением Сторон.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предусмотрено ли автопродление и срок уведомления об отказе от продления⟩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3. СТОИМОСТЬ И ПОРЯДОК РАСЧЁТОВ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3.1. Общая стоимость по настоящему Договору составляет 10 424 709 (десять миллионов четыреста двадцать четыре тысячи семьсот девять) сум 00 тийин, в том числе НДС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ставка НДС, сумма НДС; включён ли НДС в указанную сумму⟩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3.2. Указанная стоимость включает предоставление Облачных лицензий на весь Период подписки в составе согласно Приложению № 1 и является фиксированной; изменению в одностороннем порядке не подлежит.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3.3. Порядок и сроки оплаты: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график платежей — 100% предоплата / этапами / ежемесячно, сроки и суммы каждого платежа⟩</w:t>
      </w:r>
      <w:r>
        <w:rPr>
          <w:rFonts w:ascii="Times New Roman" w:hAnsi="Times New Roman" w:eastAsia="Times New Roman"/>
          <w:b w:val="0"/>
          <w:sz w:val="22"/>
        </w:rPr>
        <w:t>. Оплата производится в национальной валюте Республики Узбекистан (сум) путём перечисления на банковский счёт Исполнителя, указанный в разделе 12 Договора.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3.4. Обязательство Заказчика по оплате считается исполненным с даты зачисления денежных средств на банковский счёт Исполнителя.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3.5. Исполнитель выставляет Заказчику электронный счёт-фактуру (ЭСФ) в порядке, установленном законодательством Республики Узбекистан.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периодичность выставления ЭСФ — единовременно за период / ежемесячно⟩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3.6. Расходы по банковским комиссиям, связанным с перечислением платежей, несёт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Сторона, несущая банковские расходы⟩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3.7. Сверка расчётов проводится по требованию любой из Сторон путём подписания акта сверки взаимных расчётов.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4. ПОРЯДОК ПРЕДОСТАВЛЕНИЯ ДОСТУПА И ПРИЁМКИ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4.1. Исполнитель предоставляет Заказчику доступ к ПО (учётные данные пользователей) в срок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предоставления доступа — количество рабочих дней и с какого события отсчёт⟩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4.2. Факт предоставления права использования подтверждается актом, подписываемым Сторонами.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периодичность актов — единовременно за весь период / ежемесячно⟩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4.3. Заказчик обязан подписать акт либо направить мотивированный отказ в течение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количество рабочих дней⟩</w:t>
      </w:r>
      <w:r>
        <w:rPr>
          <w:rFonts w:ascii="Times New Roman" w:hAnsi="Times New Roman" w:eastAsia="Times New Roman"/>
          <w:b w:val="0"/>
          <w:sz w:val="22"/>
        </w:rPr>
        <w:t xml:space="preserve"> рабочих дней с даты его получения. При непоступлении подписанного акта и мотивированного отказа в указанный срок обязательства Исполнителя считаются исполненными надлежащим образом.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4.4. Обмен документами по Договору допускается через систему электронного документооборота (ЭДО); документы, подписанные электронной цифровой подписью, признаются равнозначными документам на бумажном носителе.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оператор ЭДО⟩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5. ПРАВА И ОБЯЗАННОСТИ СТОРОН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5.1. Исполнитель обязуется: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5.1.1. предоставить Облачные лицензии в объёме и в сроки, предусмотренные Договором и Приложением № 1;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5.1.2. обеспечивать доступность ПО в соответствии с разделом 6 Договора;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5.1.3. уведомлять Заказчика о плановых регламентных работах не позднее чем за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уведомления о регламентных работах⟩</w:t>
      </w:r>
      <w:r>
        <w:rPr>
          <w:rFonts w:ascii="Times New Roman" w:hAnsi="Times New Roman" w:eastAsia="Times New Roman"/>
          <w:b w:val="0"/>
          <w:sz w:val="22"/>
        </w:rPr>
        <w:t>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5.1.4. своевременно передавать Заказчику документы по расчётам (акты, ЭСФ).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5.2. Исполнитель вправе: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5.2.1. приостановить доступ Заказчика к ПО в случае нарушения сроков оплаты более чем на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количество дней просрочки⟩</w:t>
      </w:r>
      <w:r>
        <w:rPr>
          <w:rFonts w:ascii="Times New Roman" w:hAnsi="Times New Roman" w:eastAsia="Times New Roman"/>
          <w:b w:val="0"/>
          <w:sz w:val="22"/>
        </w:rPr>
        <w:t xml:space="preserve"> календарных дней, письменно уведомив Заказчика не позднее чем за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предупреждения⟩</w:t>
      </w:r>
      <w:r>
        <w:rPr>
          <w:rFonts w:ascii="Times New Roman" w:hAnsi="Times New Roman" w:eastAsia="Times New Roman"/>
          <w:b w:val="0"/>
          <w:sz w:val="22"/>
        </w:rPr>
        <w:t xml:space="preserve"> до приостановления;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5.2.2. привлекать третьих лиц для исполнения обязательств, оставаясь ответственным перед Заказчиком за их действия.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5.3. Заказчик обязуется: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5.3.1. оплатить стоимость в порядке раздела 3 Договора;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5.3.2. использовать ПО исключительно в пределах предоставленных прав и с учётом раздела 7 Договора;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>5.3.3. обеспечивать сохранность учётных данных и не передавать их третьим лицам; незамедлительно уведомлять Исполнителя о компрометации учётных данных;</w:t>
      </w:r>
    </w:p>
    <w:p>
      <w:pPr>
        <w:spacing w:after="120" w:line="276" w:lineRule="auto"/>
        <w:ind w:firstLine="0" w:left="567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5.3.4. назначить ответственное лицо для взаимодействия по Договору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Ф.И.О., должность и контакты ответственного лица Заказчика⟩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5.4. Заказчик вправе получить доступ к ПО в объёме Приложения № 1 и обращаться за технической поддержкой в пределах раздела 6 Договора.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6. УРОВЕНЬ ДОСТУПНОСТИ И ТЕХНИЧЕСКАЯ ПОДДЕРЖКА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6.1. Целевой уровень доступности ПО составляет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% доступности в календарный месяц⟩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6.2. Техническая поддержка оказывается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часы и дни поддержки, каналы обращения, время реакции по приоритетам обращений⟩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6.3. Резервное копирование данных Заказчика выполняется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периодичность резервного копирования и срок хранения копий⟩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6.4. Плановые регламентные работы, о которых Заказчик уведомлён в порядке п. 5.1.3, не учитываются при расчёте уровня доступности.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7. ОГРАНИЧЕНИЯ ИСПОЛЬЗОВАНИЯ ПО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7.1. Заказчик не вправе: копировать и распространять ПО; вносить изменения, декомпилировать или модифицировать ПО, кроме случаев, прямо разрешённых законодательством; передавать право использования третьим лицам, в том числе в сублицензию или аренду; предоставлять доступ к ПО количеству пользователей, превышающему количество оплаченных лицензий; использовать ПО для оказания услуг третьим лицам.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7.2. Исключительные права на ПО принадлежат правообладателю (SAP SE) и по настоящему Договору не передаются.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7.3. Учётная запись пользователя является именной; использование одной учётной записи несколькими лицами не допускается.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7.4. Исполнитель вправе провести проверку соблюдения условий лицензирования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порядок и периодичность проверки, согласовать с юристом⟩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8. ОТВЕТСТВЕННОСТЬ СТОРОН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8.1. За нарушение сроков оплаты Заказчик уплачивает Исполнителю пеню в размере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размер пени, % за каждый день просрочки⟩</w:t>
      </w:r>
      <w:r>
        <w:rPr>
          <w:rFonts w:ascii="Times New Roman" w:hAnsi="Times New Roman" w:eastAsia="Times New Roman"/>
          <w:b w:val="0"/>
          <w:sz w:val="22"/>
        </w:rPr>
        <w:t xml:space="preserve"> от суммы просроченного платежа за каждый день просрочки, но не более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предельный размер пени⟩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8.2. За нарушение срока предоставления доступа Исполнитель уплачивает Заказчику пеню в размере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размер пени Исполнителя⟩</w:t>
      </w:r>
      <w:r>
        <w:rPr>
          <w:rFonts w:ascii="Times New Roman" w:hAnsi="Times New Roman" w:eastAsia="Times New Roman"/>
          <w:b w:val="0"/>
          <w:sz w:val="22"/>
        </w:rPr>
        <w:t xml:space="preserve"> за каждый день просрочки, но не более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предельный размер пени⟩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8.3. Совокупная ответственность Исполнителя по Договору ограничена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предел ответственности Исполнителя⟩</w:t>
      </w:r>
      <w:r>
        <w:rPr>
          <w:rFonts w:ascii="Times New Roman" w:hAnsi="Times New Roman" w:eastAsia="Times New Roman"/>
          <w:b w:val="0"/>
          <w:sz w:val="22"/>
        </w:rPr>
        <w:t xml:space="preserve">. Упущенная выгода возмещению не подлежит, если иное не установлено законодательством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согласовать с юристом⟩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8.4. Исполнитель не несёт ответственности за перерывы в доступе, вызванные действиями Заказчика, неисправностью оборудования и каналов связи на стороне Заказчика, а также обстоятельствами на стороне правообладателя ПО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согласовать формулировку с юристом⟩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8.5. Уплата пени не освобождает Стороны от исполнения обязательств. В остальном Стороны несут ответственность в соответствии с законодательством Республики Узбекистан.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9. ОБСТОЯТЕЛЬСТВА НЕПРЕОДОЛИМОЙ СИЛЫ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9.1. Стороны освобождаются от ответственности за неисполнение обязательств, если оно вызвано обстоятельствами непреодолимой силы, возникшими после заключения Договора.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9.2. Сторона, для которой наступили такие обстоятельства, уведомляет другую Сторону в течение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уведомления о форс-мажоре⟩</w:t>
      </w:r>
      <w:r>
        <w:rPr>
          <w:rFonts w:ascii="Times New Roman" w:hAnsi="Times New Roman" w:eastAsia="Times New Roman"/>
          <w:b w:val="0"/>
          <w:sz w:val="22"/>
        </w:rPr>
        <w:t xml:space="preserve"> с приложением подтверждения уполномоченного органа.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9.3. Если обстоятельства действуют более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предельный срок форс-мажора⟩</w:t>
      </w:r>
      <w:r>
        <w:rPr>
          <w:rFonts w:ascii="Times New Roman" w:hAnsi="Times New Roman" w:eastAsia="Times New Roman"/>
          <w:b w:val="0"/>
          <w:sz w:val="22"/>
        </w:rPr>
        <w:t>, любая из Сторон вправе отказаться от Договора с проведением расчётов за фактически предоставленный период.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10. КОНФИДЕНЦИАЛЬНОСТЬ И ДАННЫЕ ЗАКАЗЧИКА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10.1. Стороны обязуются не разглашать конфиденциальную информацию, полученную в связи с исполнением Договора, в течение срока его действия и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сохранения конфиденциальности после прекращения Договора⟩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10.2. Данные, размещаемые Заказчиком в ПО, принадлежат Заказчику. При прекращении Договора Исполнитель обеспечивает выгрузку данных Заказчику в течение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выгрузки данных⟩</w:t>
      </w:r>
      <w:r>
        <w:rPr>
          <w:rFonts w:ascii="Times New Roman" w:hAnsi="Times New Roman" w:eastAsia="Times New Roman"/>
          <w:b w:val="0"/>
          <w:sz w:val="22"/>
        </w:rPr>
        <w:t xml:space="preserve"> в формате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формат выгрузки⟩</w:t>
      </w:r>
      <w:r>
        <w:rPr>
          <w:rFonts w:ascii="Times New Roman" w:hAnsi="Times New Roman" w:eastAsia="Times New Roman"/>
          <w:b w:val="0"/>
          <w:sz w:val="22"/>
        </w:rPr>
        <w:t>, после чего удаляет данные из облачной среды.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10.3. Обработка персональных данных осуществляется в соответствии с законодательством Республики Узбекистан о персональных данных. Место хранения и обработки данных: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юрисдикция и дата-центр размещения данных⟩</w:t>
      </w:r>
      <w:r>
        <w:rPr>
          <w:rFonts w:ascii="Times New Roman" w:hAnsi="Times New Roman" w:eastAsia="Times New Roman"/>
          <w:b w:val="0"/>
          <w:sz w:val="22"/>
        </w:rPr>
        <w:t xml:space="preserve">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проверить у юриста требования к локализации данных⟩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8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11. ИЗМЕНЕНИЕ, РАСТОРЖЕНИЕ ДОГОВОРА И РАЗРЕШЕНИЕ СПОРОВ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11.1. Все изменения и дополнения к Договору действительны, если совершены в письменной форме и подписаны уполномоченными представителями Сторон.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11.2. Договор может быть расторгнут по соглашению Сторон, а также в одностороннем порядке с письменным уведомлением за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уведомления о расторжении⟩</w:t>
      </w:r>
      <w:r>
        <w:rPr>
          <w:rFonts w:ascii="Times New Roman" w:hAnsi="Times New Roman" w:eastAsia="Times New Roman"/>
          <w:b w:val="0"/>
          <w:sz w:val="22"/>
        </w:rPr>
        <w:t xml:space="preserve"> с проведением расчётов за фактически предоставленный период подписки.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11.3. Споры разрешаются путём переговоров с соблюдением претензионного порядка; срок ответа на претензию —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срок ответа на претензию⟩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11.4. При недостижении согласия спор передаётся на рассмотрение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наименование суда⟩</w:t>
      </w:r>
      <w:r>
        <w:rPr>
          <w:rFonts w:ascii="Times New Roman" w:hAnsi="Times New Roman" w:eastAsia="Times New Roman"/>
          <w:b w:val="0"/>
          <w:sz w:val="22"/>
        </w:rPr>
        <w:t xml:space="preserve"> в соответствии с законодательством Республики Узбекистан.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11.5. Договор составлен в двух экземплярах, имеющих равную юридическую силу, по одному для каждой из Сторон, на русском языке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требуется ли экземпляр на государственном языке⟩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ind w:firstLine="0" w:left="0"/>
        <w:jc w:val="both"/>
      </w:pPr>
      <w:r>
        <w:rPr>
          <w:rFonts w:ascii="Times New Roman" w:hAnsi="Times New Roman" w:eastAsia="Times New Roman"/>
          <w:b w:val="0"/>
          <w:sz w:val="22"/>
        </w:rPr>
        <w:t>11.6. Приложение № 1 «Спецификация Облачных лицензий» является неотъемлемой частью Договора.</w:t>
      </w:r>
    </w:p>
    <w:p>
      <w:pPr>
        <w:spacing w:after="120" w:line="276" w:lineRule="auto"/>
        <w:jc w:val="left"/>
      </w:pPr>
      <w:r>
        <w:rPr>
          <w:rFonts w:ascii="Times New Roman" w:hAnsi="Times New Roman" w:eastAsia="Times New Roman"/>
          <w:b/>
          <w:sz w:val="23"/>
        </w:rPr>
        <w:t>12.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1"/>
        <w:gridCol w:w="3628"/>
        <w:gridCol w:w="3628"/>
      </w:tblGrid>
      <w:tr>
        <w:tc>
          <w:tcPr>
            <w:tcW w:type="dxa" w:w="3324"/>
            <w:shd w:val="clear" w:fill="E4E9F0"/>
          </w:tcPr>
          <w:p>
            <w:pPr>
              <w:jc w:val="center"/>
            </w:pPr>
          </w:p>
        </w:tc>
        <w:tc>
          <w:tcPr>
            <w:tcW w:type="dxa" w:w="3324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ИСПОЛНИТЕЛЬ</w:t>
            </w:r>
          </w:p>
        </w:tc>
        <w:tc>
          <w:tcPr>
            <w:tcW w:type="dxa" w:w="3324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ЗАКАЗЧИК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Наименование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полное наименование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 w:val="0"/>
                <w:sz w:val="20"/>
              </w:rPr>
              <w:t>Общество с ограниченной ответственностью «BIG BAG SALE»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Юридический адрес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адрес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адрес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ИНН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ИНН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ИНН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ОКЭД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ОКЭД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ОКЭД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Банк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банк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банк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Расчётный счёт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р/с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р/с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МФО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МФО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МФО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Телефон / e-mail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контакты Исполнителя⟩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контакты Заказчика⟩</w:t>
            </w:r>
          </w:p>
        </w:tc>
      </w:tr>
      <w:tr>
        <w:tc>
          <w:tcPr>
            <w:tcW w:type="dxa" w:w="3324"/>
            <w:shd w:val="clear" w:fill="F5F5F5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Подпись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________________ / </w:t>
            </w:r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Ф.И.О.⟩</w:t>
            </w:r>
          </w:p>
          <w:p>
            <w:r>
              <w:rPr>
                <w:rFonts w:ascii="Times New Roman" w:hAnsi="Times New Roman" w:eastAsia="Times New Roman"/>
                <w:b w:val="0"/>
                <w:sz w:val="20"/>
              </w:rPr>
              <w:t>М.П.</w:t>
            </w:r>
          </w:p>
        </w:tc>
        <w:tc>
          <w:tcPr>
            <w:tcW w:type="dxa" w:w="3324"/>
          </w:tcPr>
          <w:p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________________ / </w:t>
            </w:r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Ф.И.О.⟩</w:t>
            </w:r>
          </w:p>
          <w:p>
            <w:r>
              <w:rPr>
                <w:rFonts w:ascii="Times New Roman" w:hAnsi="Times New Roman" w:eastAsia="Times New Roman"/>
                <w:b w:val="0"/>
                <w:sz w:val="20"/>
              </w:rPr>
              <w:t>М.П.</w:t>
            </w:r>
          </w:p>
        </w:tc>
      </w:tr>
    </w:tbl>
    <w:p>
      <w:r>
        <w:br w:type="page"/>
      </w:r>
    </w:p>
    <w:p>
      <w:pPr>
        <w:spacing w:after="0" w:line="276" w:lineRule="auto"/>
        <w:jc w:val="right"/>
      </w:pPr>
      <w:r>
        <w:rPr>
          <w:rFonts w:ascii="Times New Roman" w:hAnsi="Times New Roman" w:eastAsia="Times New Roman"/>
          <w:b/>
          <w:sz w:val="21"/>
        </w:rPr>
        <w:t>Приложение № 1</w:t>
      </w:r>
    </w:p>
    <w:p>
      <w:pPr>
        <w:spacing w:after="240" w:line="276" w:lineRule="auto"/>
        <w:jc w:val="right"/>
      </w:pPr>
      <w:r>
        <w:rPr>
          <w:rFonts w:ascii="Times New Roman" w:hAnsi="Times New Roman" w:eastAsia="Times New Roman"/>
          <w:b w:val="0"/>
          <w:sz w:val="21"/>
        </w:rPr>
        <w:t xml:space="preserve">к Договору № </w:t>
      </w:r>
      <w:r>
        <w:rPr>
          <w:rFonts w:ascii="Times New Roman" w:hAnsi="Times New Roman" w:eastAsia="Times New Roman"/>
          <w:b/>
          <w:color w:val="C03020"/>
          <w:sz w:val="21"/>
        </w:rPr>
        <w:t>⟨УТОЧНИТЬ: № договора⟩</w:t>
      </w:r>
      <w:r>
        <w:rPr>
          <w:rFonts w:ascii="Times New Roman" w:hAnsi="Times New Roman" w:eastAsia="Times New Roman"/>
          <w:b w:val="0"/>
          <w:sz w:val="21"/>
        </w:rPr>
        <w:t xml:space="preserve"> от «08» сентября 2026 г.</w:t>
      </w:r>
    </w:p>
    <w:p>
      <w:pPr>
        <w:spacing w:after="80" w:line="276" w:lineRule="auto"/>
        <w:jc w:val="center"/>
      </w:pPr>
      <w:r>
        <w:rPr>
          <w:rFonts w:ascii="Times New Roman" w:hAnsi="Times New Roman" w:eastAsia="Times New Roman"/>
          <w:b/>
          <w:sz w:val="24"/>
        </w:rPr>
        <w:t>СПЕЦИФИКАЦИЯ ОБЛАЧНЫХ ЛИЦЕНЗИЙ SAP BUSINESS ONE</w:t>
      </w:r>
    </w:p>
    <w:p>
      <w:pPr>
        <w:spacing w:after="200" w:line="276" w:lineRule="auto"/>
        <w:jc w:val="center"/>
      </w:pPr>
      <w:r>
        <w:rPr>
          <w:rFonts w:ascii="Times New Roman" w:hAnsi="Times New Roman" w:eastAsia="Times New Roman"/>
          <w:b w:val="0"/>
          <w:sz w:val="21"/>
        </w:rPr>
        <w:t>г. Ташкент — «08» сентября 2026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"/>
        <w:gridCol w:w="3061"/>
        <w:gridCol w:w="1134"/>
        <w:gridCol w:w="850"/>
        <w:gridCol w:w="1928"/>
        <w:gridCol w:w="1361"/>
        <w:gridCol w:w="1361"/>
      </w:tblGrid>
      <w:tr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№</w:t>
            </w:r>
          </w:p>
        </w:tc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Наименование лицензии / позиции</w:t>
            </w:r>
          </w:p>
        </w:tc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Тип</w:t>
            </w:r>
          </w:p>
        </w:tc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Кол-во, ед.</w:t>
            </w:r>
          </w:p>
        </w:tc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Период</w:t>
            </w:r>
          </w:p>
        </w:tc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Цена за ед. за период, сум</w:t>
            </w:r>
          </w:p>
        </w:tc>
        <w:tc>
          <w:tcPr>
            <w:tcW w:type="dxa" w:w="1425"/>
            <w:shd w:val="clear" w:fill="E4E9F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Сумма, сум</w:t>
            </w:r>
          </w:p>
        </w:tc>
      </w:tr>
      <w:tr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 w:val="0"/>
                <w:sz w:val="18"/>
              </w:rPr>
              <w:t>1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 w:val="0"/>
                <w:sz w:val="18"/>
              </w:rPr>
              <w:t xml:space="preserve">SAP Business One Cloud — </w:t>
            </w:r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⟨УТОЧНИТЬ: наименование позиции⟩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 w:val="0"/>
                <w:sz w:val="18"/>
              </w:rPr>
              <w:t>10 июля 2026 г. — 19 марта 2027 г.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</w:tr>
      <w:tr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 w:val="0"/>
                <w:sz w:val="18"/>
              </w:rPr>
              <w:t>2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⟨УТОЧНИТЬ: дополнительные позиции, если есть⟩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 w:val="0"/>
                <w:sz w:val="18"/>
              </w:rPr>
              <w:t>10 июля 2026 г. — 19 марта 2027 г.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  <w:tc>
          <w:tcPr>
            <w:tcW w:type="dxa" w:w="1425"/>
          </w:tcPr>
          <w:p>
            <w:r>
              <w:rPr>
                <w:rFonts w:ascii="Times New Roman" w:hAnsi="Times New Roman" w:eastAsia="Times New Roman"/>
                <w:b/>
                <w:color w:val="C03020"/>
                <w:sz w:val="18"/>
              </w:rPr>
              <w:t>⟨УТОЧНИТЬ⟩</w:t>
            </w:r>
          </w:p>
        </w:tc>
      </w:tr>
      <w:tr>
        <w:tc>
          <w:tcPr>
            <w:tcW w:type="dxa" w:w="1425"/>
            <w:shd w:val="clear" w:fill="F2F5E8"/>
          </w:tcPr>
          <w:p/>
        </w:tc>
        <w:tc>
          <w:tcPr>
            <w:tcW w:type="dxa" w:w="1425"/>
            <w:shd w:val="clear" w:fill="F2F5E8"/>
          </w:tcPr>
          <w:p>
            <w:r>
              <w:rPr>
                <w:rFonts w:ascii="Times New Roman" w:hAnsi="Times New Roman" w:eastAsia="Times New Roman"/>
                <w:b/>
                <w:sz w:val="18"/>
              </w:rPr>
              <w:t>ИТОГО по Договору</w:t>
            </w:r>
          </w:p>
        </w:tc>
        <w:tc>
          <w:tcPr>
            <w:tcW w:type="dxa" w:w="1425"/>
            <w:shd w:val="clear" w:fill="F2F5E8"/>
          </w:tcPr>
          <w:p/>
        </w:tc>
        <w:tc>
          <w:tcPr>
            <w:tcW w:type="dxa" w:w="1425"/>
            <w:shd w:val="clear" w:fill="F2F5E8"/>
          </w:tcPr>
          <w:p/>
        </w:tc>
        <w:tc>
          <w:tcPr>
            <w:tcW w:type="dxa" w:w="1425"/>
            <w:shd w:val="clear" w:fill="F2F5E8"/>
          </w:tcPr>
          <w:p/>
        </w:tc>
        <w:tc>
          <w:tcPr>
            <w:tcW w:type="dxa" w:w="1425"/>
            <w:shd w:val="clear" w:fill="F2F5E8"/>
          </w:tcPr>
          <w:p/>
        </w:tc>
        <w:tc>
          <w:tcPr>
            <w:tcW w:type="dxa" w:w="1425"/>
            <w:shd w:val="clear" w:fill="F2F5E8"/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sz w:val="18"/>
              </w:rPr>
              <w:t>10 424 709</w:t>
            </w:r>
          </w:p>
        </w:tc>
      </w:tr>
    </w:tbl>
    <w:p/>
    <w:p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 xml:space="preserve">Итого к оплате: 10 424 709 (десять миллионов четыреста двадцать четыре тысячи семьсот девять) сум 00 тийин, в том числе НДС </w:t>
      </w:r>
      <w:r>
        <w:rPr>
          <w:rFonts w:ascii="Times New Roman" w:hAnsi="Times New Roman" w:eastAsia="Times New Roman"/>
          <w:b/>
          <w:color w:val="C03020"/>
          <w:sz w:val="22"/>
        </w:rPr>
        <w:t>⟨УТОЧНИТЬ: ставка и сумма НДС⟩</w:t>
      </w:r>
      <w:r>
        <w:rPr>
          <w:rFonts w:ascii="Times New Roman" w:hAnsi="Times New Roman" w:eastAsia="Times New Roman"/>
          <w:b w:val="0"/>
          <w:sz w:val="22"/>
        </w:rPr>
        <w:t>.</w:t>
      </w:r>
    </w:p>
    <w:p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Период предоставления лицензий: с 10 июля 2026 г. по 19 марта 2027 г. включительно (253 календарных дня).</w:t>
      </w:r>
    </w:p>
    <w:p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sz w:val="20"/>
        </w:rPr>
        <w:t>— Итоговая сумма 10 424 709 (десять миллионов четыреста двадцать четыре тысячи семьсот девять) сум 00 тийин указана в задании куратора и соответствует п. 3.1 Договора.</w:t>
      </w:r>
    </w:p>
    <w:p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sz w:val="20"/>
        </w:rPr>
        <w:t>— Разбивка итоговой суммы по позициям (количество лицензий и цена за единицу) в задании не указана — заполняется Исполнителем; сумма по позициям должна сходиться с итогом.</w:t>
      </w:r>
    </w:p>
    <w:p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sz w:val="20"/>
        </w:rPr>
        <w:t xml:space="preserve">— НДС: </w:t>
      </w:r>
      <w:r>
        <w:rPr>
          <w:rFonts w:ascii="Times New Roman" w:hAnsi="Times New Roman" w:eastAsia="Times New Roman"/>
          <w:b/>
          <w:color w:val="C03020"/>
          <w:sz w:val="20"/>
        </w:rPr>
        <w:t>⟨УТОЧНИТЬ: ставка НДС, сумма НДС и включён ли НДС в итоговую сумму⟩</w:t>
      </w:r>
      <w:r>
        <w:rPr>
          <w:rFonts w:ascii="Times New Roman" w:hAnsi="Times New Roman" w:eastAsia="Times New Roman"/>
          <w:b w:val="0"/>
          <w:sz w:val="20"/>
        </w:rPr>
        <w:t>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ИСПОЛНИТЕЛЬ</w:t>
            </w:r>
          </w:p>
        </w:tc>
        <w:tc>
          <w:tcPr>
            <w:tcW w:type="dxa" w:w="4986"/>
          </w:tcPr>
          <w:p>
            <w:r>
              <w:rPr>
                <w:b/>
              </w:rPr>
              <w:t>ЗАКАЗЧИК</w:t>
            </w:r>
          </w:p>
        </w:tc>
      </w:tr>
      <w:tr>
        <w:tc>
          <w:tcPr>
            <w:tcW w:type="dxa" w:w="4986"/>
          </w:tcPr>
          <w:p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________________ / </w:t>
            </w:r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Ф.И.О.⟩</w:t>
            </w:r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  М.П.</w:t>
            </w:r>
          </w:p>
        </w:tc>
        <w:tc>
          <w:tcPr>
            <w:tcW w:type="dxa" w:w="4986"/>
          </w:tcPr>
          <w:p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________________ / </w:t>
            </w:r>
            <w:r>
              <w:rPr>
                <w:rFonts w:ascii="Times New Roman" w:hAnsi="Times New Roman" w:eastAsia="Times New Roman"/>
                <w:b/>
                <w:color w:val="C03020"/>
                <w:sz w:val="20"/>
              </w:rPr>
              <w:t>⟨УТОЧНИТЬ: Ф.И.О.⟩</w:t>
            </w:r>
            <w:r>
              <w:rPr>
                <w:rFonts w:ascii="Times New Roman" w:hAnsi="Times New Roman" w:eastAsia="Times New Roman"/>
                <w:b w:val="0"/>
                <w:sz w:val="20"/>
              </w:rPr>
              <w:t xml:space="preserve">   М.П.</w:t>
            </w:r>
          </w:p>
        </w:tc>
      </w:tr>
    </w:tbl>
    <w:sectPr w:rsidR="00FC693F" w:rsidRPr="0006063C" w:rsidSect="00034616"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